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(межрайонное)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Клиентсая служба (на правах отдела) в Кантемировском районе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1"/>
        <w:spacing w:lineRule="auto" w:line="240" w:before="0" w:after="0"/>
        <w:jc w:val="center"/>
        <w:rPr>
          <w:sz w:val="28"/>
          <w:i/>
          <w:b/>
          <w:sz w:val="28"/>
          <w:i/>
          <w:b/>
          <w:szCs w:val="28"/>
          <w:bCs/>
          <w:rFonts w:ascii="Cambria" w:hAnsi="Cambria" w:eastAsia="" w:cs=""/>
          <w:color w:val="FF0000"/>
        </w:rPr>
      </w:pPr>
      <w:r>
        <w:rPr>
          <w:i/>
          <w:color w:val="FF0000"/>
        </w:rPr>
      </w:r>
      <w:r/>
    </w:p>
    <w:p>
      <w:pPr>
        <w:pStyle w:val="1"/>
        <w:spacing w:lineRule="auto" w:line="240" w:before="0" w:after="0"/>
        <w:jc w:val="center"/>
        <w:rPr>
          <w:sz w:val="32"/>
          <w:i/>
          <w:u w:val="single"/>
          <w:sz w:val="32"/>
          <w:i/>
          <w:szCs w:val="32"/>
          <w:color w:val="FF0000"/>
        </w:rPr>
      </w:pPr>
      <w:r>
        <w:rPr>
          <w:i/>
          <w:color w:val="FF0000"/>
          <w:sz w:val="32"/>
          <w:szCs w:val="32"/>
          <w:u w:val="single"/>
        </w:rPr>
        <w:t>О сайте пенсионной грамотности</w:t>
      </w:r>
      <w:r/>
    </w:p>
    <w:p>
      <w:pPr>
        <w:pStyle w:val="1"/>
        <w:spacing w:lineRule="auto" w:line="240" w:before="0" w:after="0"/>
        <w:jc w:val="center"/>
        <w:rPr>
          <w:sz w:val="32"/>
          <w:i/>
          <w:u w:val="single"/>
          <w:sz w:val="32"/>
          <w:i/>
          <w:szCs w:val="32"/>
          <w:color w:val="FF0000"/>
        </w:rPr>
      </w:pPr>
      <w:r>
        <w:rPr>
          <w:i/>
          <w:color w:val="FF0000"/>
          <w:sz w:val="32"/>
          <w:szCs w:val="32"/>
          <w:u w:val="single"/>
        </w:rPr>
        <w:t xml:space="preserve"> </w:t>
      </w:r>
      <w:r>
        <w:rPr>
          <w:i/>
          <w:color w:val="FF0000"/>
          <w:sz w:val="32"/>
          <w:szCs w:val="32"/>
          <w:u w:val="single"/>
        </w:rPr>
        <w:t>для школьников и студентов</w:t>
      </w:r>
      <w:r/>
    </w:p>
    <w:p>
      <w:pPr>
        <w:pStyle w:val="Normal"/>
        <w:spacing w:lineRule="auto" w:line="240" w:before="0" w:after="0"/>
        <w:ind w:firstLine="540"/>
        <w:jc w:val="both"/>
        <w:rPr>
          <w:sz w:val="26"/>
          <w:b/>
          <w:sz w:val="26"/>
          <w:b/>
          <w:szCs w:val="2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  <w:r/>
    </w:p>
    <w:p>
      <w:pPr>
        <w:pStyle w:val="Normal"/>
        <w:spacing w:lineRule="auto" w:line="240" w:before="0" w:after="0"/>
        <w:ind w:firstLine="540"/>
        <w:jc w:val="both"/>
        <w:rPr>
          <w:sz w:val="26"/>
          <w:b/>
          <w:sz w:val="26"/>
          <w:b/>
          <w:szCs w:val="2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  <w:r/>
    </w:p>
    <w:p>
      <w:pPr>
        <w:pStyle w:val="Normal"/>
        <w:spacing w:lineRule="auto" w:line="240" w:before="0" w:after="0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Государственное учреждение - Управление Пенсионного фонда Российской Федерации в Россошанском районе Воронежской области (межрайонное) информирует о том, что ежегодно в </w:t>
      </w:r>
      <w:r>
        <w:rPr>
          <w:rFonts w:cs="Times New Roman" w:ascii="Times New Roman" w:hAnsi="Times New Roman"/>
          <w:sz w:val="26"/>
          <w:szCs w:val="26"/>
        </w:rPr>
        <w:t xml:space="preserve"> школах, средних  учебных заведениях района проводятся уроки пенсионной грамотности. 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Специально для таких уроков год назад Пенсионный фонд России запустил обучающий интернет-ресурс </w:t>
      </w:r>
      <w:r>
        <w:rPr>
          <w:sz w:val="26"/>
          <w:szCs w:val="26"/>
          <w:lang w:val="en-US"/>
        </w:rPr>
        <w:t>school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pfrf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hyperlink r:id="rId3">
        <w:r>
          <w:rPr>
            <w:rStyle w:val="Style11"/>
            <w:rFonts w:eastAsia="" w:eastAsiaTheme="majorEastAsia"/>
            <w:b/>
            <w:color w:val="00000A"/>
            <w:sz w:val="26"/>
            <w:szCs w:val="26"/>
          </w:rPr>
          <w:t>Школьникам о пенсии</w:t>
        </w:r>
      </w:hyperlink>
      <w:r>
        <w:rPr>
          <w:rFonts w:eastAsia="" w:eastAsiaTheme="majorEastAsia"/>
          <w:b/>
          <w:color w:val="00000A"/>
          <w:sz w:val="26"/>
          <w:szCs w:val="26"/>
        </w:rPr>
        <w:t>»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Сайт в наглядной и увлекательной форме рассказывает учащимся, как устроена российская пенсионная система,  обращает внимание на  принципы формирования будущей пенсии, на то, что  необходимо предпринять, чтобы поднять ее уровень, демонстрирует формулу</w:t>
      </w:r>
      <w:bookmarkStart w:id="0" w:name="_GoBack"/>
      <w:bookmarkEnd w:id="0"/>
      <w:r>
        <w:rPr>
          <w:sz w:val="26"/>
          <w:szCs w:val="26"/>
        </w:rPr>
        <w:t xml:space="preserve"> расчета пенсии. 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Интернет-проект ПФР подскажет конкретные шаги для получения  СНИЛС или выбора подходящего варианта пенсионных отчислений. Помимо этого, школьники смогут найти полезную информацию об использовании электронного кабинета ПФР, чтобы с первых рабочих дней иметь возможность контролировать свои  пенсионные отчисления и будущую пенсию.</w:t>
      </w:r>
      <w:r/>
    </w:p>
    <w:p>
      <w:pPr>
        <w:pStyle w:val="NormalWeb"/>
        <w:spacing w:beforeAutospacing="0" w:before="0" w:afterAutospacing="0" w:after="0"/>
        <w:ind w:firstLine="540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Главные факторы, от которых зависит формирование пенсии, представлены на сайте в виде симулятора жизненных ситуаций, проходя который очень просто запомнить, как поступить в том или ином случае, чтобы пенсионные средства формировались в более высоком размере. А специальный тест поможет проверить и закрепить полученные школьниками знания.</w:t>
      </w:r>
      <w:r/>
    </w:p>
    <w:p>
      <w:pPr>
        <w:pStyle w:val="Normal"/>
        <w:spacing w:lineRule="auto" w:line="240" w:before="0" w:after="0"/>
        <w:ind w:firstLine="540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Сайт будет также полезен родителям учащихся, для которых подготовлено несколько разделов с информацией, в частности об оформлении пенсии или использовании материнского капитала для ее увеличения.</w:t>
      </w:r>
      <w:r/>
    </w:p>
    <w:p>
      <w:pPr>
        <w:pStyle w:val="Normal"/>
        <w:spacing w:lineRule="auto" w:line="240" w:before="0" w:after="0"/>
        <w:ind w:firstLine="540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</w:r>
      <w:r/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chool.pfrf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1678-7EBB-463D-B554-C1313286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LibreOffice/4.3.2.2$Windows_x86 LibreOffice_project/edfb5295ba211bd31ad47d0bad0118690f76407d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2018-11-06T12:17:00Z</dcterms:created>
  <dc:creator>Admin</dc:creator>
  <dc:language>ru-RU</dc:language>
  <cp:lastPrinted>2018-02-13T10:14:00Z</cp:lastPrinted>
  <dcterms:modified xsi:type="dcterms:W3CDTF">2018-11-08T13:42:46Z</dcterms:modified>
  <cp:revision>5</cp:revision>
</cp:coreProperties>
</file>