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BA363C" w:rsidRPr="00210FD2" w:rsidRDefault="00BA363C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136EC4" w:rsidRDefault="00136EC4" w:rsidP="00136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36EC4">
        <w:rPr>
          <w:rFonts w:ascii="Times New Roman" w:hAnsi="Times New Roman" w:cs="Times New Roman"/>
          <w:b/>
          <w:bCs/>
          <w:sz w:val="36"/>
          <w:szCs w:val="36"/>
        </w:rPr>
        <w:t>Предпенсионный</w:t>
      </w:r>
      <w:proofErr w:type="spellEnd"/>
      <w:r w:rsidRPr="00136EC4">
        <w:rPr>
          <w:rFonts w:ascii="Times New Roman" w:hAnsi="Times New Roman" w:cs="Times New Roman"/>
          <w:b/>
          <w:bCs/>
          <w:sz w:val="36"/>
          <w:szCs w:val="36"/>
        </w:rPr>
        <w:t xml:space="preserve"> возраст</w:t>
      </w:r>
    </w:p>
    <w:p w:rsidR="00136EC4" w:rsidRPr="00136EC4" w:rsidRDefault="00136EC4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0984" w:rsidRDefault="00190984" w:rsidP="0013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разъясняет. </w:t>
      </w:r>
    </w:p>
    <w:p w:rsidR="00136EC4" w:rsidRDefault="00136EC4" w:rsidP="00136EC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6EC4">
        <w:rPr>
          <w:sz w:val="26"/>
          <w:szCs w:val="26"/>
        </w:rPr>
        <w:t xml:space="preserve">До начала 2019 года вопрос, какой возраст в России считается </w:t>
      </w:r>
      <w:proofErr w:type="spellStart"/>
      <w:r w:rsidRPr="00136EC4">
        <w:rPr>
          <w:sz w:val="26"/>
          <w:szCs w:val="26"/>
        </w:rPr>
        <w:t>предпенсионным</w:t>
      </w:r>
      <w:proofErr w:type="spellEnd"/>
      <w:r w:rsidRPr="00136EC4">
        <w:rPr>
          <w:sz w:val="26"/>
          <w:szCs w:val="26"/>
        </w:rPr>
        <w:t>, мало интересовал граждан, так как при его достижении законодательство не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предусматривало почти никаких льгот. Эта ситуация изменилась с января текущего года, когда в стране стартовала  пенсионная реформа. Теперь момент наступления </w:t>
      </w:r>
      <w:proofErr w:type="spellStart"/>
      <w:r w:rsidRPr="00136EC4">
        <w:rPr>
          <w:sz w:val="26"/>
          <w:szCs w:val="26"/>
        </w:rPr>
        <w:t>предпенсионного</w:t>
      </w:r>
      <w:proofErr w:type="spellEnd"/>
      <w:r w:rsidRPr="00136EC4">
        <w:rPr>
          <w:sz w:val="26"/>
          <w:szCs w:val="26"/>
        </w:rPr>
        <w:t xml:space="preserve"> возраста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официально определен в нормативном акте, а его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достижение связано с предоставлением различных социальных </w:t>
      </w:r>
      <w:r>
        <w:rPr>
          <w:sz w:val="26"/>
          <w:szCs w:val="26"/>
        </w:rPr>
        <w:t>льгот</w:t>
      </w:r>
      <w:r w:rsidRPr="00136EC4">
        <w:rPr>
          <w:sz w:val="26"/>
          <w:szCs w:val="26"/>
        </w:rPr>
        <w:t>. Официально безработные граждане, которым оставалось не более двух лет до выхода на  пенсию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по старости, могли оформить ее, не дожидаясь наступления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пенсионного возраста. Эта льгота, была единственной  для </w:t>
      </w:r>
      <w:proofErr w:type="spellStart"/>
      <w:r w:rsidRPr="00136EC4">
        <w:rPr>
          <w:sz w:val="26"/>
          <w:szCs w:val="26"/>
        </w:rPr>
        <w:t>россиян-предпенсионеров</w:t>
      </w:r>
      <w:proofErr w:type="spellEnd"/>
      <w:r w:rsidRPr="00136EC4">
        <w:rPr>
          <w:sz w:val="26"/>
          <w:szCs w:val="26"/>
        </w:rPr>
        <w:t xml:space="preserve">. Она охватывала (и охватывает сейчас) довольно узкий круг граждан, лишившихся работы в результате сокращения или ликвидации предприятия. Однако, в связи с повышением  пенсионного возраста, </w:t>
      </w:r>
      <w:proofErr w:type="spellStart"/>
      <w:r w:rsidRPr="00136EC4">
        <w:rPr>
          <w:sz w:val="26"/>
          <w:szCs w:val="26"/>
        </w:rPr>
        <w:t>предпенсионеры</w:t>
      </w:r>
      <w:proofErr w:type="spellEnd"/>
      <w:r w:rsidRPr="00136EC4">
        <w:rPr>
          <w:sz w:val="26"/>
          <w:szCs w:val="26"/>
        </w:rPr>
        <w:t xml:space="preserve"> стали уязвимой социальной группой, и льгот для них теперь предусмотрено больше. </w:t>
      </w:r>
    </w:p>
    <w:p w:rsidR="005F6384" w:rsidRDefault="00136EC4" w:rsidP="005F638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6EC4">
        <w:rPr>
          <w:sz w:val="26"/>
          <w:szCs w:val="26"/>
        </w:rPr>
        <w:t>Поэтому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вопрос, с какого года считается  </w:t>
      </w:r>
      <w:proofErr w:type="spellStart"/>
      <w:r w:rsidRPr="00136EC4">
        <w:rPr>
          <w:sz w:val="26"/>
          <w:szCs w:val="26"/>
        </w:rPr>
        <w:t>предпенсионный</w:t>
      </w:r>
      <w:proofErr w:type="spellEnd"/>
      <w:r w:rsidRPr="00136EC4">
        <w:rPr>
          <w:sz w:val="26"/>
          <w:szCs w:val="26"/>
        </w:rPr>
        <w:t xml:space="preserve"> возраст, перестает быть праздным</w:t>
      </w:r>
      <w:r>
        <w:rPr>
          <w:sz w:val="26"/>
          <w:szCs w:val="26"/>
        </w:rPr>
        <w:t>. Д</w:t>
      </w:r>
      <w:r w:rsidRPr="00136EC4">
        <w:rPr>
          <w:sz w:val="26"/>
          <w:szCs w:val="26"/>
        </w:rPr>
        <w:t xml:space="preserve">ля </w:t>
      </w:r>
      <w:proofErr w:type="spellStart"/>
      <w:r w:rsidRPr="00136EC4">
        <w:rPr>
          <w:sz w:val="26"/>
          <w:szCs w:val="26"/>
        </w:rPr>
        <w:t>предпенсионеров</w:t>
      </w:r>
      <w:proofErr w:type="spellEnd"/>
      <w:r w:rsidRPr="00136EC4">
        <w:rPr>
          <w:sz w:val="26"/>
          <w:szCs w:val="26"/>
        </w:rPr>
        <w:t xml:space="preserve"> гарантированы следующие виды </w:t>
      </w:r>
      <w:proofErr w:type="gramStart"/>
      <w:r w:rsidRPr="00136EC4">
        <w:rPr>
          <w:sz w:val="26"/>
          <w:szCs w:val="26"/>
        </w:rPr>
        <w:t>социальной</w:t>
      </w:r>
      <w:proofErr w:type="gramEnd"/>
      <w:r w:rsidRPr="00136EC4">
        <w:rPr>
          <w:sz w:val="26"/>
          <w:szCs w:val="26"/>
        </w:rPr>
        <w:t xml:space="preserve"> </w:t>
      </w:r>
      <w:proofErr w:type="gramStart"/>
      <w:r w:rsidRPr="00136EC4">
        <w:rPr>
          <w:sz w:val="26"/>
          <w:szCs w:val="26"/>
        </w:rPr>
        <w:t>поддержки: ежегодное двухдневное освобождение от работы для прохождения диспансеризации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(эти «отгулы» оплачиваются работодателем) – п. 2 ст. 185.1 Трудового кодекса; повышенное пособие по безработице (максимально – 11 280 рублей – Постановление</w:t>
      </w:r>
      <w:r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Правительства России </w:t>
      </w:r>
      <w:r w:rsidR="005F6384">
        <w:rPr>
          <w:sz w:val="26"/>
          <w:szCs w:val="26"/>
        </w:rPr>
        <w:t>№</w:t>
      </w:r>
      <w:r w:rsidRPr="00136EC4">
        <w:rPr>
          <w:sz w:val="26"/>
          <w:szCs w:val="26"/>
        </w:rPr>
        <w:t xml:space="preserve"> 1375 от 15.11.2018) и более продолжительный период выплаты данного пособия (ст. 34.2 закона «О занятости населе</w:t>
      </w:r>
      <w:r w:rsidR="005F6384">
        <w:rPr>
          <w:sz w:val="26"/>
          <w:szCs w:val="26"/>
        </w:rPr>
        <w:t xml:space="preserve">ния РФ»); </w:t>
      </w:r>
      <w:r w:rsidRPr="00136EC4">
        <w:rPr>
          <w:sz w:val="26"/>
          <w:szCs w:val="26"/>
        </w:rPr>
        <w:t xml:space="preserve">льготы по налогам на недвижимость и землю (закон </w:t>
      </w:r>
      <w:r w:rsidR="005F6384">
        <w:rPr>
          <w:sz w:val="26"/>
          <w:szCs w:val="26"/>
        </w:rPr>
        <w:t>№</w:t>
      </w:r>
      <w:r w:rsidRPr="00136EC4">
        <w:rPr>
          <w:sz w:val="26"/>
          <w:szCs w:val="26"/>
        </w:rPr>
        <w:t xml:space="preserve"> 378 от 30.10.2018). </w:t>
      </w:r>
      <w:proofErr w:type="gramEnd"/>
    </w:p>
    <w:p w:rsidR="00136EC4" w:rsidRPr="00136EC4" w:rsidRDefault="00136EC4" w:rsidP="005F638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6EC4">
        <w:rPr>
          <w:sz w:val="26"/>
          <w:szCs w:val="26"/>
        </w:rPr>
        <w:t xml:space="preserve">Для работодателей нужно знать, какой возраст считается </w:t>
      </w:r>
      <w:proofErr w:type="spellStart"/>
      <w:r w:rsidRPr="00136EC4">
        <w:rPr>
          <w:sz w:val="26"/>
          <w:szCs w:val="26"/>
        </w:rPr>
        <w:t>предпенсионным</w:t>
      </w:r>
      <w:proofErr w:type="spellEnd"/>
      <w:r w:rsidRPr="00136EC4">
        <w:rPr>
          <w:sz w:val="26"/>
          <w:szCs w:val="26"/>
        </w:rPr>
        <w:t xml:space="preserve"> и нельзя увольнять сотрудников, его достигших, так как данное деяние при определенных</w:t>
      </w:r>
      <w:r w:rsidR="005F638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обстоятельствах является уголовно наказуемым. Ответственным лицам грозит наказание в случае, если увольнение </w:t>
      </w:r>
      <w:proofErr w:type="spellStart"/>
      <w:r w:rsidRPr="00136EC4">
        <w:rPr>
          <w:sz w:val="26"/>
          <w:szCs w:val="26"/>
        </w:rPr>
        <w:t>предпенсионера</w:t>
      </w:r>
      <w:proofErr w:type="spellEnd"/>
      <w:r w:rsidRPr="00136EC4">
        <w:rPr>
          <w:sz w:val="26"/>
          <w:szCs w:val="26"/>
        </w:rPr>
        <w:t xml:space="preserve"> или отказ принять его на работу суд признает необоснованными (ст. 144.1 Уголовного кодекса). Нарушителям придется либо заплатить солидный денежный штраф – до 200 тысяч рублей, либо искупить вину обязательными работами – до 360 часов.</w:t>
      </w:r>
    </w:p>
    <w:p w:rsidR="00136EC4" w:rsidRPr="00136EC4" w:rsidRDefault="00136EC4" w:rsidP="00136E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36EC4">
        <w:rPr>
          <w:sz w:val="26"/>
          <w:szCs w:val="26"/>
        </w:rPr>
        <w:t> </w:t>
      </w:r>
      <w:r w:rsidR="005F6384">
        <w:rPr>
          <w:sz w:val="26"/>
          <w:szCs w:val="26"/>
        </w:rPr>
        <w:tab/>
      </w:r>
      <w:r w:rsidRPr="00136EC4">
        <w:rPr>
          <w:sz w:val="26"/>
          <w:szCs w:val="26"/>
        </w:rPr>
        <w:t xml:space="preserve">Понятие  </w:t>
      </w:r>
      <w:proofErr w:type="spellStart"/>
      <w:r w:rsidRPr="00136EC4">
        <w:rPr>
          <w:sz w:val="26"/>
          <w:szCs w:val="26"/>
        </w:rPr>
        <w:t>предпенсионный</w:t>
      </w:r>
      <w:proofErr w:type="spellEnd"/>
      <w:r w:rsidRPr="00136EC4">
        <w:rPr>
          <w:sz w:val="26"/>
          <w:szCs w:val="26"/>
        </w:rPr>
        <w:t xml:space="preserve"> возраст определено в 5-й статье закона «О занятости населения» </w:t>
      </w:r>
      <w:r w:rsidR="005F6384">
        <w:rPr>
          <w:sz w:val="26"/>
          <w:szCs w:val="26"/>
        </w:rPr>
        <w:t>№</w:t>
      </w:r>
      <w:r w:rsidRPr="00136EC4">
        <w:rPr>
          <w:sz w:val="26"/>
          <w:szCs w:val="26"/>
        </w:rPr>
        <w:t xml:space="preserve"> 1032-1 (ред. от 11.12.2018). Здесь говорится, что таковым является</w:t>
      </w:r>
      <w:r w:rsidR="005F638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пятилетний период, предшествующий возрасту выхода на</w:t>
      </w:r>
      <w:r w:rsidR="005F638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пенсию по старости. При этом неважно, наступает ли он досрочно или в обычный срок. То есть, с какого возраста человек </w:t>
      </w:r>
      <w:proofErr w:type="gramStart"/>
      <w:r w:rsidRPr="00136EC4">
        <w:rPr>
          <w:sz w:val="26"/>
          <w:szCs w:val="26"/>
        </w:rPr>
        <w:t>считается</w:t>
      </w:r>
      <w:r w:rsidR="005F6384">
        <w:rPr>
          <w:sz w:val="26"/>
          <w:szCs w:val="26"/>
        </w:rPr>
        <w:t xml:space="preserve"> </w:t>
      </w:r>
      <w:proofErr w:type="spellStart"/>
      <w:r w:rsidRPr="00136EC4">
        <w:rPr>
          <w:sz w:val="26"/>
          <w:szCs w:val="26"/>
        </w:rPr>
        <w:t>предпенсионного</w:t>
      </w:r>
      <w:proofErr w:type="spellEnd"/>
      <w:r w:rsidRPr="00136EC4">
        <w:rPr>
          <w:sz w:val="26"/>
          <w:szCs w:val="26"/>
        </w:rPr>
        <w:t xml:space="preserve"> возраста привязывается</w:t>
      </w:r>
      <w:proofErr w:type="gramEnd"/>
      <w:r w:rsidRPr="00136EC4">
        <w:rPr>
          <w:sz w:val="26"/>
          <w:szCs w:val="26"/>
        </w:rPr>
        <w:t xml:space="preserve"> не к конкретному количеству прожитых лет, а к возрасту, когда человек</w:t>
      </w:r>
      <w:r w:rsidR="005F638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получит право на назначение  пенсии по старости. Предшествующие ему пять лет являются </w:t>
      </w:r>
      <w:proofErr w:type="spellStart"/>
      <w:r w:rsidRPr="00136EC4">
        <w:rPr>
          <w:sz w:val="26"/>
          <w:szCs w:val="26"/>
        </w:rPr>
        <w:t>предпенсионным</w:t>
      </w:r>
      <w:proofErr w:type="spellEnd"/>
      <w:r w:rsidRPr="00136EC4">
        <w:rPr>
          <w:sz w:val="26"/>
          <w:szCs w:val="26"/>
        </w:rPr>
        <w:t xml:space="preserve"> периодом. Согласно 8-й статье закона «О  страховых пенсиях</w:t>
      </w:r>
      <w:r w:rsidR="005F638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» (</w:t>
      </w:r>
      <w:r w:rsidR="005F6384">
        <w:rPr>
          <w:sz w:val="26"/>
          <w:szCs w:val="26"/>
        </w:rPr>
        <w:t>№</w:t>
      </w:r>
      <w:r w:rsidRPr="00136EC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lastRenderedPageBreak/>
        <w:t>400-ФЗ от 28.12.2013), пенсионный возраст для российских мужчин, по общему правилу, составляет 65 лет, для женщин – 60 лет. И тогда их  </w:t>
      </w:r>
      <w:proofErr w:type="spellStart"/>
      <w:r w:rsidRPr="00136EC4">
        <w:rPr>
          <w:sz w:val="26"/>
          <w:szCs w:val="26"/>
        </w:rPr>
        <w:t>предпенсионный</w:t>
      </w:r>
      <w:proofErr w:type="spellEnd"/>
      <w:r w:rsidRPr="00136EC4">
        <w:rPr>
          <w:sz w:val="26"/>
          <w:szCs w:val="26"/>
        </w:rPr>
        <w:t xml:space="preserve"> возраст должен наступать в 60 и 55 лет соответственно. Однако в связи с тем, что переход к возрастным значениям, дающим право на пенсию, будет постепенным, </w:t>
      </w:r>
      <w:proofErr w:type="spellStart"/>
      <w:r w:rsidRPr="00136EC4">
        <w:rPr>
          <w:sz w:val="26"/>
          <w:szCs w:val="26"/>
        </w:rPr>
        <w:t>предпенсионный</w:t>
      </w:r>
      <w:proofErr w:type="spellEnd"/>
      <w:r w:rsidRPr="00136EC4">
        <w:rPr>
          <w:sz w:val="26"/>
          <w:szCs w:val="26"/>
        </w:rPr>
        <w:t xml:space="preserve"> период тоже не сразу</w:t>
      </w:r>
      <w:r w:rsidR="00132CE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 xml:space="preserve">повысится на пять лет. Он </w:t>
      </w:r>
      <w:proofErr w:type="gramStart"/>
      <w:r w:rsidRPr="00136EC4">
        <w:rPr>
          <w:sz w:val="26"/>
          <w:szCs w:val="26"/>
        </w:rPr>
        <w:t>станет увеличиваться вслед за</w:t>
      </w:r>
      <w:r w:rsidR="00132CE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пенсионным возрастом сохраняя</w:t>
      </w:r>
      <w:proofErr w:type="gramEnd"/>
      <w:r w:rsidRPr="00136EC4">
        <w:rPr>
          <w:sz w:val="26"/>
          <w:szCs w:val="26"/>
        </w:rPr>
        <w:t xml:space="preserve"> пятилетний интервал.</w:t>
      </w:r>
    </w:p>
    <w:p w:rsidR="00136EC4" w:rsidRPr="00136EC4" w:rsidRDefault="00136EC4" w:rsidP="00132CE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6EC4">
        <w:rPr>
          <w:sz w:val="26"/>
          <w:szCs w:val="26"/>
        </w:rPr>
        <w:t>Если гражданин имеет основания претендовать на досрочную  пенсию</w:t>
      </w:r>
      <w:bookmarkStart w:id="0" w:name="_GoBack"/>
      <w:bookmarkEnd w:id="0"/>
      <w:r w:rsidRPr="00136EC4">
        <w:rPr>
          <w:sz w:val="26"/>
          <w:szCs w:val="26"/>
        </w:rPr>
        <w:t xml:space="preserve">, его </w:t>
      </w:r>
      <w:proofErr w:type="spellStart"/>
      <w:r w:rsidRPr="00136EC4">
        <w:rPr>
          <w:sz w:val="26"/>
          <w:szCs w:val="26"/>
        </w:rPr>
        <w:t>предпенсионный</w:t>
      </w:r>
      <w:proofErr w:type="spellEnd"/>
      <w:r w:rsidRPr="00136EC4">
        <w:rPr>
          <w:sz w:val="26"/>
          <w:szCs w:val="26"/>
        </w:rPr>
        <w:t xml:space="preserve"> возраст</w:t>
      </w:r>
      <w:r w:rsidR="00132CE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также наступает за пять лет до момента,</w:t>
      </w:r>
      <w:r w:rsidR="00132CE4">
        <w:rPr>
          <w:sz w:val="26"/>
          <w:szCs w:val="26"/>
        </w:rPr>
        <w:t xml:space="preserve"> </w:t>
      </w:r>
      <w:r w:rsidRPr="00136EC4">
        <w:rPr>
          <w:sz w:val="26"/>
          <w:szCs w:val="26"/>
        </w:rPr>
        <w:t>когда она будет ему назначена.</w:t>
      </w:r>
    </w:p>
    <w:p w:rsidR="00136EC4" w:rsidRPr="00136EC4" w:rsidRDefault="00136EC4" w:rsidP="0013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136EC4" w:rsidRDefault="006B1702" w:rsidP="00136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6B1702" w:rsidRPr="00136EC4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0D096D"/>
    <w:rsid w:val="00132CE4"/>
    <w:rsid w:val="00136EC4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5F6384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77E3F"/>
    <w:rsid w:val="00BA363C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D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E721-7493-4834-B6A6-4BB80698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Кругляк Анна Ивановна</cp:lastModifiedBy>
  <cp:revision>5</cp:revision>
  <cp:lastPrinted>2018-02-13T10:14:00Z</cp:lastPrinted>
  <dcterms:created xsi:type="dcterms:W3CDTF">2019-08-22T13:55:00Z</dcterms:created>
  <dcterms:modified xsi:type="dcterms:W3CDTF">2019-08-23T10:48:00Z</dcterms:modified>
</cp:coreProperties>
</file>