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spacing w:lineRule="auto" w:line="240" w:before="0" w:after="0"/>
        <w:ind w:left="3544" w:hanging="0"/>
        <w:outlineLvl w:val="0"/>
        <w:rPr>
          <w:sz w:val="26"/>
          <w:b/>
          <w:sz w:val="26"/>
          <w:b/>
          <w:szCs w:val="26"/>
          <w:bCs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t xml:space="preserve">              </w:t>
      </w: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drawing>
          <wp:inline distT="0" distB="0" distL="0" distR="0">
            <wp:extent cx="466725" cy="47561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Государственное Учреждение - Управление Пенсионного фонда</w:t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Российской Федерации в Россошанском районе Воронежской области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(межрайонное)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 xml:space="preserve">КС (на правах отдела) в Кантемировском районе </w:t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548DD4"/>
          <w:lang w:eastAsia="ru-RU"/>
        </w:rPr>
      </w:pPr>
      <w:r>
        <w:rPr>
          <w:rFonts w:eastAsia="Times New Roman" w:cs="Times New Roman" w:ascii="Times New Roman" w:hAnsi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  <w:r/>
    </w:p>
    <w:p>
      <w:pPr>
        <w:pStyle w:val="1"/>
        <w:jc w:val="center"/>
        <w:rPr>
          <w:sz w:val="32"/>
          <w:i/>
          <w:sz w:val="32"/>
          <w:i/>
          <w:szCs w:val="32"/>
          <w:color w:val="FF0000"/>
        </w:rPr>
      </w:pPr>
      <w:r>
        <w:rPr>
          <w:i/>
          <w:color w:val="FF0000"/>
          <w:sz w:val="32"/>
          <w:szCs w:val="32"/>
        </w:rPr>
        <w:t>Сервисы сайта Пенсионного фонда</w:t>
      </w:r>
      <w:r/>
    </w:p>
    <w:p>
      <w:pPr>
        <w:pStyle w:val="Normal"/>
        <w:spacing w:lineRule="auto" w:line="240" w:before="0" w:after="0"/>
        <w:ind w:firstLine="540"/>
        <w:jc w:val="center"/>
        <w:rPr>
          <w:sz w:val="32"/>
          <w:i/>
          <w:b/>
          <w:sz w:val="32"/>
          <w:i/>
          <w:b/>
          <w:szCs w:val="32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sz w:val="32"/>
          <w:szCs w:val="32"/>
        </w:rPr>
      </w:r>
      <w:r/>
    </w:p>
    <w:p>
      <w:pPr>
        <w:pStyle w:val="Normal"/>
        <w:spacing w:lineRule="auto" w:line="240" w:before="0" w:after="0"/>
        <w:jc w:val="both"/>
        <w:rPr>
          <w:sz w:val="26"/>
          <w:sz w:val="26"/>
          <w:szCs w:val="26"/>
          <w:bCs/>
          <w:rFonts w:ascii="Times New Roman" w:hAnsi="Times New Roman" w:eastAsia="Times New Roman" w:cs="Times New Roman"/>
          <w:lang w:eastAsia="ru-RU"/>
        </w:rPr>
      </w:pP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Государственное учреждение - Управление Пенсионного фонда Российской Федерации в Россошанском районе Воронежской области (межрайонное) напоминает гражданам о том, что в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 личном кабинете гражданина на сайте Пенсионного фонда постоянно обновляются сервисы, с помощью которых  можно получить много полезной информации. </w:t>
      </w:r>
      <w:r/>
    </w:p>
    <w:p>
      <w:pPr>
        <w:pStyle w:val="Normal"/>
        <w:spacing w:lineRule="auto" w:line="240" w:before="0" w:after="0"/>
        <w:jc w:val="both"/>
        <w:rPr>
          <w:sz w:val="26"/>
          <w:sz w:val="26"/>
          <w:szCs w:val="26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ab/>
        <w:t>Пенсию, проиндексированную с 1 января 2020 года, получат неработающие пенсионеры. Работающие пенсионеры  могут получить информацию о начисленной пенсии и о сумме пенсии, выплачиваемой в период трудовой деятельности в личном кабинете гражданина.  Для этого нужно воспользоваться сервисом в разделе «Пенсии» «О пенсионном обеспечении».</w:t>
      </w:r>
      <w:r/>
    </w:p>
    <w:p>
      <w:pPr>
        <w:pStyle w:val="Normal"/>
        <w:spacing w:lineRule="auto" w:line="240" w:before="0" w:after="0"/>
        <w:jc w:val="both"/>
        <w:rPr>
          <w:sz w:val="26"/>
          <w:sz w:val="26"/>
          <w:szCs w:val="26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ab/>
        <w:t>В указанном разделе можно заказать справки о назначенных пенсиях и социальных выплатах (на дату), об отнесении гражданина к категории граждан предпенсионного возраста, о произведенных выплатах за период.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26"/>
          <w:sz w:val="26"/>
          <w:szCs w:val="26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Справки  могут быть запрошены учреждениями в рамках межведомственного взаимодействия или, при необходимости, получены пенсионером самостоятельно, без визита в Управление ПФР.</w:t>
      </w:r>
      <w:r/>
    </w:p>
    <w:p>
      <w:pPr>
        <w:pStyle w:val="ConsPlusNormal"/>
        <w:spacing w:before="0" w:after="0"/>
        <w:ind w:firstLine="708"/>
        <w:contextualSpacing/>
        <w:jc w:val="both"/>
        <w:rPr>
          <w:sz w:val="26"/>
          <w:sz w:val="26"/>
          <w:szCs w:val="26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Чтобы получить соответствующую справку, необходимо войти в личный кабинет на портале электронных услуг Пенсионного фонда и выбрать соответствующий сервис. При наличии  информации, в кабинете будет сформирован документ, который можно распечатать и предъявить по требованию. Полученная через личный кабинет справка заверяется усиленной квалифицированной электронной подписью и равнозначна аналогичной справке, выдаваемой в клиентских службах Пенсионного фонда.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i w:val="false"/>
          <w:sz w:val="26"/>
          <w:i w:val="false"/>
          <w:szCs w:val="26"/>
          <w:color w:val="000000" w:themeColor="text1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желающих посетить клиентскую службу Управления, есть возможность предварительной записи. </w:t>
      </w:r>
      <w:r>
        <w:rPr>
          <w:rStyle w:val="Style13"/>
          <w:i w:val="false"/>
          <w:color w:val="000000" w:themeColor="text1"/>
          <w:sz w:val="26"/>
          <w:szCs w:val="26"/>
        </w:rPr>
        <w:t xml:space="preserve">На сегодняшний день записаться на прием в клиентскую службу ПФР можно через Личный кабинет гражданина на сайте Пенсионного фонда </w:t>
      </w:r>
      <w:r>
        <w:rPr>
          <w:rStyle w:val="Style13"/>
          <w:i w:val="false"/>
          <w:color w:val="000000" w:themeColor="text1"/>
          <w:sz w:val="26"/>
          <w:szCs w:val="26"/>
          <w:lang w:val="en-US"/>
        </w:rPr>
        <w:t>www</w:t>
      </w:r>
      <w:r>
        <w:rPr>
          <w:rStyle w:val="Style13"/>
          <w:i w:val="false"/>
          <w:color w:val="000000" w:themeColor="text1"/>
          <w:sz w:val="26"/>
          <w:szCs w:val="26"/>
        </w:rPr>
        <w:t>.</w:t>
      </w:r>
      <w:r>
        <w:rPr>
          <w:rStyle w:val="Style13"/>
          <w:i w:val="false"/>
          <w:color w:val="000000" w:themeColor="text1"/>
          <w:sz w:val="26"/>
          <w:szCs w:val="26"/>
          <w:lang w:val="en-US"/>
        </w:rPr>
        <w:t>pfrf</w:t>
      </w:r>
      <w:r>
        <w:rPr>
          <w:rStyle w:val="Style13"/>
          <w:i w:val="false"/>
          <w:color w:val="000000" w:themeColor="text1"/>
          <w:sz w:val="26"/>
          <w:szCs w:val="26"/>
        </w:rPr>
        <w:t>.</w:t>
      </w:r>
      <w:r>
        <w:rPr>
          <w:rStyle w:val="Style13"/>
          <w:i w:val="false"/>
          <w:color w:val="000000" w:themeColor="text1"/>
          <w:sz w:val="26"/>
          <w:szCs w:val="26"/>
          <w:lang w:val="en-US"/>
        </w:rPr>
        <w:t>ru</w:t>
      </w:r>
      <w:r>
        <w:rPr>
          <w:rStyle w:val="Style13"/>
          <w:i w:val="false"/>
          <w:color w:val="000000" w:themeColor="text1"/>
          <w:sz w:val="26"/>
          <w:szCs w:val="26"/>
        </w:rPr>
        <w:t>, через мобильное приложение ПФР, а также через портал госуслуг. Воспользоваться электронным сервисом в Личном кабинете можно без авторизации.</w:t>
      </w:r>
      <w:r/>
    </w:p>
    <w:p>
      <w:pPr>
        <w:pStyle w:val="ConsPlusNormal"/>
        <w:spacing w:before="0" w:after="0"/>
        <w:ind w:firstLine="708"/>
        <w:contextualSpacing/>
        <w:jc w:val="both"/>
        <w:rPr>
          <w:sz w:val="26"/>
          <w:sz w:val="26"/>
          <w:szCs w:val="26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b/>
          <w:sz w:val="26"/>
          <w:b/>
          <w:szCs w:val="26"/>
          <w:bCs/>
          <w:color w:val="000000" w:themeColor="text1"/>
        </w:rPr>
      </w:pPr>
      <w:r>
        <w:rPr>
          <w:sz w:val="26"/>
          <w:szCs w:val="26"/>
        </w:rPr>
        <w:t xml:space="preserve">    </w:t>
      </w:r>
      <w:r>
        <w:rPr>
          <w:rStyle w:val="Style13"/>
          <w:b/>
          <w:bCs/>
          <w:color w:val="000000" w:themeColor="text1"/>
          <w:sz w:val="26"/>
          <w:szCs w:val="26"/>
        </w:rPr>
        <w:t>Как записаться на прием в ПФР заранее, используя электронные сервисы?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sz w:val="26"/>
          <w:szCs w:val="26"/>
          <w:color w:val="000000" w:themeColor="text1"/>
        </w:rPr>
      </w:pP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Чтобы попасть на прием к специалисту клиентской службы, нужно на сайте ПФ РФ пройти по ссылке </w:t>
      </w:r>
      <w:hyperlink r:id="rId3">
        <w:r>
          <w:rPr>
            <w:rStyle w:val="Style11"/>
            <w:color w:val="000000" w:themeColor="text1"/>
            <w:sz w:val="26"/>
            <w:szCs w:val="26"/>
            <w:u w:val="none"/>
          </w:rPr>
          <w:t>Личный кабинет гражданина</w:t>
        </w:r>
      </w:hyperlink>
      <w:r>
        <w:rPr>
          <w:color w:val="000000" w:themeColor="text1"/>
          <w:sz w:val="26"/>
          <w:szCs w:val="26"/>
        </w:rPr>
        <w:t xml:space="preserve"> и выбрать раздел «Запись на прием». Далее необходимо последовательно заполнить все строки. Для начала нужно полностью заполнить раздел «Данные заявителя». В графе «Категория пользователя» следует указать свой статус (например, «Физическое лицо»). 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sz w:val="26"/>
          <w:szCs w:val="26"/>
          <w:color w:val="000000" w:themeColor="text1"/>
        </w:rPr>
      </w:pPr>
      <w:r>
        <w:rPr>
          <w:color w:val="000000" w:themeColor="text1"/>
          <w:sz w:val="26"/>
          <w:szCs w:val="26"/>
        </w:rPr>
        <w:t xml:space="preserve">В разделе «Место приема» необходимо выбрать из предложенного списка «Воронежская область», а в расположенных ниже строках отметить нужный  «Территориальный орган ПФР» и «Тему приема». 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sz w:val="26"/>
          <w:szCs w:val="26"/>
          <w:color w:val="000000" w:themeColor="text1"/>
        </w:rPr>
      </w:pPr>
      <w:r>
        <w:rPr>
          <w:color w:val="000000" w:themeColor="text1"/>
          <w:sz w:val="26"/>
          <w:szCs w:val="26"/>
        </w:rPr>
        <w:t>Далее появится календарь с указанием дат. В подходящую дату можно будет выбрать нужное время. После этого необходимо дать свое согласие на обработку личных данных. Затем внизу появится кнопка «Записаться на прием», при нажатии на которую откроется страница с подтверждением осуществления записи к специалисту, где будут указаны: дата и время приема, а также наименование и адрес территориального органа ПФР, номер талона и перечень документов, необходимых для визита в клиентскую службу.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sz w:val="26"/>
          <w:szCs w:val="26"/>
          <w:color w:val="000000" w:themeColor="text1"/>
        </w:rPr>
      </w:pPr>
      <w:r>
        <w:rPr>
          <w:color w:val="000000" w:themeColor="text1"/>
          <w:sz w:val="26"/>
          <w:szCs w:val="26"/>
        </w:rPr>
        <w:t>Работа с электронным сервисом «Запись на прием» завершается нажатием на панели «Сохранить талон» или «Отменить/перенести предварительную запись». Даже в случае отсутствия распечатанного талона запись останется зафиксированной в Управлении ПФР.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sz w:val="26"/>
          <w:szCs w:val="26"/>
          <w:color w:val="000000" w:themeColor="text1"/>
        </w:rPr>
      </w:pPr>
      <w:r>
        <w:rPr>
          <w:color w:val="000000" w:themeColor="text1"/>
          <w:sz w:val="26"/>
          <w:szCs w:val="26"/>
        </w:rPr>
        <w:t>Воспользовавшись электронными сервисами Пенсионного фонда, Вы выбираете удобное для себя время посещения, избегаете очередей и экономит</w:t>
      </w:r>
      <w:bookmarkStart w:id="0" w:name="_GoBack"/>
      <w:bookmarkEnd w:id="0"/>
      <w:r>
        <w:rPr>
          <w:color w:val="000000" w:themeColor="text1"/>
          <w:sz w:val="26"/>
          <w:szCs w:val="26"/>
        </w:rPr>
        <w:t>е свое время для других дел.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sz w:val="26"/>
          <w:szCs w:val="26"/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color w:val="000000" w:themeColor="text1"/>
          <w:sz w:val="26"/>
          <w:szCs w:val="26"/>
        </w:rPr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sz w:val="26"/>
          <w:szCs w:val="26"/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color w:val="000000" w:themeColor="text1"/>
          <w:sz w:val="26"/>
          <w:szCs w:val="26"/>
        </w:rPr>
      </w:r>
      <w:r/>
    </w:p>
    <w:p>
      <w:pPr>
        <w:pStyle w:val="ConsPlusNormal"/>
        <w:spacing w:before="0" w:after="0"/>
        <w:ind w:firstLine="539"/>
        <w:contextualSpacing/>
        <w:jc w:val="both"/>
        <w:rPr>
          <w:sz w:val="26"/>
          <w:sz w:val="26"/>
          <w:szCs w:val="26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  <w:r/>
    </w:p>
    <w:p>
      <w:pPr>
        <w:pStyle w:val="Normal"/>
        <w:spacing w:lineRule="auto" w:line="240" w:before="0" w:after="0"/>
        <w:rPr>
          <w:sz w:val="26"/>
          <w:sz w:val="26"/>
          <w:szCs w:val="26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  <w:r/>
    </w:p>
    <w:p>
      <w:pPr>
        <w:pStyle w:val="ConsPlusNormal"/>
        <w:spacing w:before="0" w:after="0"/>
        <w:ind w:firstLine="539"/>
        <w:contextualSpacing/>
        <w:jc w:val="both"/>
        <w:rPr>
          <w:sz w:val="26"/>
          <w:sz w:val="26"/>
          <w:szCs w:val="26"/>
          <w:rFonts w:ascii="Arial" w:hAnsi="Arial" w:eastAsia="" w:cs="Arial" w:eastAsiaTheme="minorEastAsia"/>
          <w:lang w:eastAsia="ru-RU"/>
        </w:rPr>
      </w:pPr>
      <w:r>
        <w:rPr>
          <w:sz w:val="26"/>
          <w:szCs w:val="26"/>
        </w:rPr>
      </w:r>
      <w:r/>
    </w:p>
    <w:p>
      <w:pPr>
        <w:pStyle w:val="ConsPlusNormal"/>
        <w:spacing w:before="0" w:after="0"/>
        <w:ind w:firstLine="539"/>
        <w:contextualSpacing/>
        <w:jc w:val="both"/>
        <w:rPr>
          <w:sz w:val="20"/>
          <w:sz w:val="20"/>
          <w:szCs w:val="20"/>
          <w:rFonts w:ascii="Arial" w:hAnsi="Arial" w:eastAsia="" w:cs="Arial" w:eastAsiaTheme="minorEastAsia"/>
          <w:lang w:eastAsia="ru-RU"/>
        </w:rPr>
      </w:pPr>
      <w:r>
        <w:rPr/>
      </w:r>
      <w:r/>
    </w:p>
    <w:sectPr>
      <w:type w:val="nextPage"/>
      <w:pgSz w:w="11906" w:h="16838"/>
      <w:pgMar w:left="1418" w:right="851" w:header="0" w:top="56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Заголовок 3"/>
    <w:basedOn w:val="Normal"/>
    <w:link w:val="30"/>
    <w:uiPriority w:val="9"/>
    <w:qFormat/>
    <w:rsid w:val="00825f0e"/>
    <w:p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>
    <w:name w:val="Заголовок 4"/>
    <w:basedOn w:val="Normal"/>
    <w:link w:val="40"/>
    <w:uiPriority w:val="9"/>
    <w:qFormat/>
    <w:rsid w:val="00825f0e"/>
    <w:pPr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31" w:customStyle="1">
    <w:name w:val="Заголовок 3 Знак"/>
    <w:basedOn w:val="DefaultParagraphFont"/>
    <w:link w:val="3"/>
    <w:uiPriority w:val="9"/>
    <w:rsid w:val="00825f0e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rsid w:val="00825f0e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1">
    <w:name w:val="Интернет-ссылка"/>
    <w:basedOn w:val="DefaultParagraphFont"/>
    <w:uiPriority w:val="99"/>
    <w:semiHidden/>
    <w:unhideWhenUsed/>
    <w:rsid w:val="00825f0e"/>
    <w:rPr>
      <w:color w:val="0000FF"/>
      <w:u w:val="single"/>
      <w:lang w:val="zxx" w:eastAsia="zxx" w:bidi="zxx"/>
    </w:rPr>
  </w:style>
  <w:style w:type="character" w:styleId="Label" w:customStyle="1">
    <w:name w:val="label"/>
    <w:basedOn w:val="DefaultParagraphFont"/>
    <w:rsid w:val="00825f0e"/>
    <w:rPr/>
  </w:style>
  <w:style w:type="character" w:styleId="11" w:customStyle="1">
    <w:name w:val="Заголовок 1 Знак"/>
    <w:basedOn w:val="DefaultParagraphFont"/>
    <w:link w:val="1"/>
    <w:uiPriority w:val="9"/>
    <w:rsid w:val="0095694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59fb"/>
    <w:rPr>
      <w:b/>
      <w:bCs/>
    </w:rPr>
  </w:style>
  <w:style w:type="character" w:styleId="Style13">
    <w:name w:val="Выделение"/>
    <w:basedOn w:val="DefaultParagraphFont"/>
    <w:uiPriority w:val="20"/>
    <w:qFormat/>
    <w:rsid w:val="009377fc"/>
    <w:rPr>
      <w:i/>
      <w:iCs/>
    </w:rPr>
  </w:style>
  <w:style w:type="character" w:styleId="ListLabel1">
    <w:name w:val="ListLabel 1"/>
    <w:rPr>
      <w:sz w:val="20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rsid w:val="009569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59fb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rsid w:val="004b4137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5558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es.pfrf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27C9B-EC30-4362-A089-41197290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LibreOffice/4.3.2.2$Windows_x86 LibreOffice_project/edfb5295ba211bd31ad47d0bad0118690f76407d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2020-01-14T08:21:00Z</dcterms:created>
  <dc:creator>Admin</dc:creator>
  <dc:language>ru-RU</dc:language>
  <cp:lastPrinted>2018-02-13T10:14:00Z</cp:lastPrinted>
  <dcterms:modified xsi:type="dcterms:W3CDTF">2020-01-22T18:16:52Z</dcterms:modified>
  <cp:revision>4</cp:revision>
</cp:coreProperties>
</file>